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sz w:val="44"/>
          <w:szCs w:val="44"/>
        </w:rPr>
        <w:t xml:space="preserve">2026年7月监管全景月报</w:t>
      </w:r>
    </w:p>
    <w:p>
      <w:pPr>
        <w:spacing w:after="360"/>
        <w:jc w:val="center"/>
      </w:pPr>
      <w:r>
        <w:rPr>
          <w:color w:val="666666"/>
          <w:sz w:val="18"/>
          <w:szCs w:val="18"/>
        </w:rPr>
        <w:t xml:space="preserve">报告区间：2026-07-01 ~ 2026-07-31 · RegSci 报告中心自动生成（AI 分析仅供参考）</w:t>
      </w:r>
    </w:p>
    <w:p>
      <w:pPr>
        <w:pStyle w:val="Heading1"/>
        <w:spacing w:after="160" w:before="320"/>
      </w:pPr>
      <w:r>
        <w:t xml:space="preserve">卷首总览</w:t>
      </w:r>
    </w:p>
    <w:p>
      <w:pPr>
        <w:spacing w:after="120"/>
        <w:jc w:val="both"/>
      </w:pPr>
      <w:r>
        <w:t xml:space="preserve">2026年7月，全球药品监管在创新激励与风险管控的张力中加速重构。本期呈现三条交织主线：其一，依赖审评与药典协调实质推进，WHO列名机制与ICH新规标志着“一次审评、多地采纳”从设想走向落地，企业全球注册路径需主动对标并预判标准渐变。其二，创新闭环政策密集贯通，中国打通从审评提速到医院准入、支付支持的堵点，FDA将单臂试验常规化并放宽临床试验入组，EMA为3D打印等先进制造铺路，提示药企应整合注册、临床与市场准入策略以抢占窗口期。其三，质量与安全监管同步升级，美国质量缺陷引发大规模完整回应函及批准前检查收紧，欧洲强化上市后警戒，中国集采价格预警与中药适应症限定传导出全生命周期合规压力。三条主线本质关联：加速创新依赖监管信赖与证据灵活性，但这一过程倒逼质量体系和药物警戒能力达到新高度。对注册团队，须尽早研究ICH附件2及ATMP可比性指南，将加速路径转化为申报实践；质量部门应构建迎接更严格批准前检查的韧性体系；BD需洞察细胞基因治疗等前沿赛道窗口，同时评估供应链重构和药典协调对物料的影响；监管事务则须前瞻布局真实世界证据与模型化方法，以应对审评与定价谈判中日益多元的证据需求。</w:t>
      </w:r>
    </w:p>
    <w:p>
      <w:pPr>
        <w:pStyle w:val="Heading1"/>
        <w:spacing w:after="160" w:before="320"/>
      </w:pPr>
      <w:r>
        <w:t xml:space="preserve">全球监管动态</w:t>
      </w:r>
    </w:p>
    <w:p>
      <w:pPr>
        <w:pStyle w:val="Heading2"/>
        <w:spacing w:after="160" w:before="320"/>
      </w:pPr>
      <w:r>
        <w:t xml:space="preserve">国际组织与协调</w:t>
      </w:r>
    </w:p>
    <w:p>
      <w:pPr>
        <w:spacing w:after="120"/>
        <w:jc w:val="both"/>
      </w:pPr>
      <w:r>
        <w:rPr>
          <w:i/>
          <w:iCs/>
          <w:color w:val="444444"/>
        </w:rPr>
        <w:t xml:space="preserve">【宏观判断】本期国际监管协调呈现深度整合与互认加速态势。ICH继续完善临床试验与先进治疗产品指南，E6(R3)附件2强化以风险为基础的质量管理，ATMP变更可比性指南则直面细胞基因治疗产品的可比性评价难题。WHO持续推动依赖审评路径，更新协作程序并公布首批医疗器械列名机构，实质推进‘一次审评、多地采纳’的监管信赖。美欧日药典三边协调启动，标志着质量标准全球趋同进入新阶段。叠加WHO应急诊断清单，可见协调机制正从药品向医疗器械、紧急公卫领域延伸。对药企而言，应主动对标ICH新规优化临床质量管理体系，并尽早参照ATMP可比性框架制定变更策略；同时可借助WHO列名机构机制规划全球注册，但需关注药典协调对物料与检测标准的潜在影响，确保多市场合规的敏捷性。</w:t>
      </w:r>
    </w:p>
    <w:p>
      <w:pPr>
        <w:spacing w:after="120"/>
        <w:jc w:val="both"/>
      </w:pPr>
      <w:r>
        <w:rPr>
          <w:b/>
          <w:bCs/>
        </w:rPr>
        <w:t xml:space="preserve">1. 国际人用药品技术要求协调理事会（ICH）于7月10日采纳并发布《E6(R3)药物临床试验管理规范附件2》</w:t>
      </w:r>
    </w:p>
    <w:p>
      <w:pPr>
        <w:spacing w:after="120"/>
        <w:jc w:val="both"/>
      </w:pPr>
      <w:r>
        <w:t xml:space="preserve">2026年7月10日，国际人用药品技术要求协调理事会（ICH）正式采纳并发布ICH E6(R3)《药物临床试验管理规范》附件2，标志着该指南的修订工作全面完成。附件2为临床试验的规划、实施、监督和记录提供了补充指导，适用于申办者、研究者及伦理委员会等所有参与方。此举将进一步提升临床试验管理规范的全球协调性，相关方需及时评估其对现有操作流程的潜在影响。</w:t>
      </w:r>
    </w:p>
    <w:p>
      <w:pPr>
        <w:spacing w:after="120"/>
        <w:jc w:val="both"/>
      </w:pPr>
      <w:r>
        <w:rPr>
          <w:b/>
          <w:bCs/>
        </w:rPr>
        <w:t xml:space="preserve">2. 国际人用药品技术要求协调理事会（ICH）于7月30日宣布拟新增《Q5E附录：先进治疗药品（ATMP）变更可比性研究指导》草案</w:t>
      </w:r>
    </w:p>
    <w:p>
      <w:pPr>
        <w:spacing w:after="120"/>
        <w:jc w:val="both"/>
      </w:pPr>
      <w:r>
        <w:t xml:space="preserve">2026年7月30日，ICH宣布拟新增Q5E附录，专门针对先进治疗药品（ATMP）的变更可比性研究提供指导。该附录将涵盖细胞、基因和组织工程产品，明确可比性研究的设计、分析方法及变更管理要求。目前文件处于草案阶段，预计将开放公众评议，最终定稿后将适用于全球ATMP申报，有望统一各国监管期望，加速产品开发。</w:t>
      </w:r>
    </w:p>
    <w:p>
      <w:pPr>
        <w:spacing w:after="120"/>
        <w:jc w:val="both"/>
      </w:pPr>
      <w:r>
        <w:rPr>
          <w:b/>
          <w:bCs/>
        </w:rPr>
        <w:t xml:space="preserve">3. 世界卫生组织（WHO）于7月23日更新《药品注册协作程序：依赖WHO列名机构审评结果》</w:t>
      </w:r>
    </w:p>
    <w:p>
      <w:pPr>
        <w:spacing w:after="120"/>
        <w:jc w:val="both"/>
      </w:pPr>
      <w:r>
        <w:t xml:space="preserve">2026年7月23日，世界卫生组织（WHO）更新了其药品注册协作程序，明确成员国可依赖WHO列名机构（WLA）的审评结果，并设定90日内完成审结的目标。该程序旨在通过审评互认加速药品注册，适用于已通过WLA评估的药品。药企需密切关注WLA清单及各国采纳情况，以优化注册策略，充分利用这一加快上市路径。</w:t>
      </w:r>
    </w:p>
    <w:p>
      <w:pPr>
        <w:spacing w:after="120"/>
        <w:jc w:val="both"/>
      </w:pPr>
      <w:r>
        <w:rPr>
          <w:b/>
          <w:bCs/>
        </w:rPr>
        <w:t xml:space="preserve">4. 美国药典（USP）、欧洲药典（Ph.Eur.）和日本药典（JP）于7月16日启动首个三边前瞻性药典标准协调项目</w:t>
      </w:r>
    </w:p>
    <w:p>
      <w:pPr>
        <w:spacing w:after="120"/>
        <w:jc w:val="both"/>
      </w:pPr>
      <w:r>
        <w:t xml:space="preserve">2026年7月16日，美国药典（USP）、欧洲药典（Ph.Eur.）和日本药典（JP）联合宣布启动首个三边前瞻性药典标准协调项目。该项目旨在统一药典方法标准，消除重复测试需求，促进药品国际流通。协调工作将重点聚焦于新药典方法的同步开发，避免未来出现标准差异，预计将对全球药品注册和监管要求产生深远影响。</w:t>
      </w:r>
    </w:p>
    <w:p>
      <w:pPr>
        <w:spacing w:after="120"/>
        <w:jc w:val="both"/>
      </w:pPr>
      <w:r>
        <w:rPr>
          <w:b/>
          <w:bCs/>
        </w:rPr>
        <w:t xml:space="preserve">5. 世界卫生组织（WHO）于7月31日公布首批符合“列名机构”资格的医疗器械监管机构名单</w:t>
      </w:r>
    </w:p>
    <w:p>
      <w:pPr>
        <w:spacing w:after="120"/>
        <w:jc w:val="both"/>
      </w:pPr>
      <w:r>
        <w:t xml:space="preserve">2026年7月31日，世界卫生组织（WHO）公布了首批符合“列名机构”（Listed Authority）资格的医疗器械监管机构名单。该名单基于WHO的列名机构框架，旨在认可在医疗器械监管方面具备成熟能力和可靠记录的监管机构，以推动全球监管协调和器械准入。虽然具体机构名单及生效时间尚未披露，但此举将直接影响医疗器械的国际注册和上市路径，促进审评互认。</w:t>
      </w:r>
    </w:p>
    <w:p>
      <w:pPr>
        <w:spacing w:after="120"/>
        <w:jc w:val="both"/>
      </w:pPr>
      <w:r>
        <w:rPr>
          <w:b/>
          <w:bCs/>
        </w:rPr>
        <w:t xml:space="preserve">6. 世界卫生组织（WHO）于7月2日将首个本迪布焦埃博拉病毒诊断检测试剂列入紧急使用清单</w:t>
      </w:r>
    </w:p>
    <w:p>
      <w:pPr>
        <w:spacing w:after="120"/>
        <w:jc w:val="both"/>
      </w:pPr>
      <w:r>
        <w:t xml:space="preserve">2026年7月2日，WHO将首个针对本迪布焦埃博拉病毒（BDBV）的分子诊断检测试剂列入紧急使用清单（EUL）。该检测通过识别血液样本中的病毒遗传物质实现快速准确诊断。EUL程序确保关键卫生产品的质量、安全性和性能符合国际标准，并满足中低收入国家需求。此举旨在加速获取可靠诊断工具，支持早期病例发现、临床护理、疾病监测和疫情应对。当前刚果（金）BDBV疫情持续扩大，已报告1406例确诊病例和438例死亡。</w:t>
      </w:r>
    </w:p>
    <w:p>
      <w:pPr>
        <w:pStyle w:val="Heading2"/>
        <w:spacing w:after="160" w:before="320"/>
      </w:pPr>
      <w:r>
        <w:t xml:space="preserve">中国监管</w:t>
      </w:r>
    </w:p>
    <w:p>
      <w:pPr>
        <w:spacing w:after="120"/>
        <w:jc w:val="both"/>
      </w:pPr>
      <w:r>
        <w:rPr>
          <w:i/>
          <w:iCs/>
          <w:color w:val="444444"/>
        </w:rPr>
        <w:t xml:space="preserve">【宏观判断】本期中国药品监管密集落子，贯穿研发、审评、市场准入与支付全链条，凸显“提质增效”与产业高质量发展的双重主线。最值得关注的趋势是创新药迎来从审评加速到进院使用、支付支撑的闭环政策红利：顶层规划着力打通进院堵点，细胞与基因治疗等前沿领域获得专项鼓励，优先审评及发补新规进一步优化注册效率。与此同时，控费与规范力度同步强化，第12批集采引入价格预警，DRG/DIP全面落地，中药限定适应症目录和感冒药说明书修订显示存量品种管理趋严。事件间高度关联，支付端改革与基本药物、医保目录动态调整联动，对药企而言，必须将研发创新与市场准入、临床使用规范融为一体，既需抢抓创新赛道窗口，也要警惕成熟产品的价格与合规风险。</w:t>
      </w:r>
    </w:p>
    <w:p>
      <w:pPr>
        <w:spacing w:after="120"/>
        <w:jc w:val="both"/>
      </w:pPr>
      <w:r>
        <w:rPr>
          <w:b/>
          <w:bCs/>
        </w:rPr>
        <w:t xml:space="preserve">7. 中共中央办公厅、国务院办公厅于7月9日联合印发《关于深化药品医疗器械监管改革促进产业高质量发展的通知》</w:t>
      </w:r>
    </w:p>
    <w:p>
      <w:pPr>
        <w:spacing w:after="120"/>
        <w:jc w:val="both"/>
      </w:pPr>
      <w:r>
        <w:t xml:space="preserve">2026年7月9日，中共中央办公厅、国务院办公厅联合印发通知，部署药品医疗器械监管改革工作。通知旨在深化审评审批制度改革，优化审评流程，强化全生命周期监管，包括加强检查执法、完善法规标准等，以提升监管效能，促进产业高质量发展。该通知对药械行业产生深远影响，要求各地各部门落实责任，确保改革措施落地见效。</w:t>
      </w:r>
    </w:p>
    <w:p>
      <w:pPr>
        <w:spacing w:after="120"/>
        <w:jc w:val="both"/>
      </w:pPr>
      <w:r>
        <w:rPr>
          <w:b/>
          <w:bCs/>
        </w:rPr>
        <w:t xml:space="preserve">8. 国家卫生健康委等部门于7月9日发布《国家基本药物目录（2026年版）》</w:t>
      </w:r>
    </w:p>
    <w:p>
      <w:pPr>
        <w:spacing w:after="120"/>
        <w:jc w:val="both"/>
      </w:pPr>
      <w:r>
        <w:t xml:space="preserve">2026年7月9日，国家卫生健康委等部门发布《国家基本药物目录（2026年版）》，共收录794种药品，其中化药和生物制品476种、中成药318种，自9月1日起实施。本次调整新增116种药品，包括司美格鲁肽、奥希替尼等创新药及48种中成药，新增儿童适宜药品31种，同时调出2种化药。新版目录优化了结构，突出临床必需和儿童用药保障，各级医疗机构需据此调整采购配备，对药企市场格局产生直接影响。</w:t>
      </w:r>
    </w:p>
    <w:p>
      <w:pPr>
        <w:spacing w:after="120"/>
        <w:jc w:val="both"/>
      </w:pPr>
      <w:r>
        <w:rPr>
          <w:b/>
          <w:bCs/>
        </w:rPr>
        <w:t xml:space="preserve">9. 国家组织药品联合采购办公室于7月22日发布第12批国家药品集中采购文件，并建立价格预警机制</w:t>
      </w:r>
    </w:p>
    <w:p>
      <w:pPr>
        <w:spacing w:after="120"/>
        <w:jc w:val="both"/>
      </w:pPr>
      <w:r>
        <w:t xml:space="preserve">2026年7月22日，国家组织药品联合采购办公室发布第12批国家药品集中采购文件，明确采购品种、报价规则等，并建立价格预警和纠偏机制，对明显低于成本的超低价投标亮牌警示，遏制恶性内卷。7月31日，首轮报价结束，265家企业拟中选结果公布。本次集采覆盖多个治疗领域，通过设置最高有效申报价等措施引导合理报价，将对中标企业供应保障、未中标企业市场退出及药品价格体系产生深刻影响。</w:t>
      </w:r>
    </w:p>
    <w:p>
      <w:pPr>
        <w:spacing w:after="120"/>
        <w:jc w:val="both"/>
      </w:pPr>
      <w:r>
        <w:rPr>
          <w:b/>
          <w:bCs/>
        </w:rPr>
        <w:t xml:space="preserve">10. 国家医保局于7月18日宣布按病种付费（DRG/DIP）改革在全国全面落地</w:t>
      </w:r>
    </w:p>
    <w:p>
      <w:pPr>
        <w:spacing w:after="120"/>
        <w:jc w:val="both"/>
      </w:pPr>
      <w:r>
        <w:t xml:space="preserve">2026年7月18日，国家医保局宣布，按病种付费（DRG/DIP）改革已在全国范围内全面落地实施，自7月起所有符合条件的医疗机构均需执行按病种付费标准。此项改革通过精细化支付方式控制医疗费用不合理增长，提高医保基金使用效率，同时引导医疗机构规范诊疗行为。该政策直接影响医疗机构收入模式、药企产品定价策略及流通格局，要求行业优化产品结构以适应控费要求，确保合规经营。</w:t>
      </w:r>
    </w:p>
    <w:p>
      <w:pPr>
        <w:spacing w:after="120"/>
        <w:jc w:val="both"/>
      </w:pPr>
      <w:r>
        <w:rPr>
          <w:b/>
          <w:bCs/>
        </w:rPr>
        <w:t xml:space="preserve">11. 国务院于7月14日发布顶层规划，着力打通创新药进入医院的堵点</w:t>
      </w:r>
    </w:p>
    <w:p>
      <w:pPr>
        <w:spacing w:after="120"/>
        <w:jc w:val="both"/>
      </w:pPr>
      <w:r>
        <w:t xml:space="preserve">2026年7月14日，国务院发布顶层规划，旨在解决创新药进入医院面临的准入困难、采购流程繁琐等堵点问题。规划涉及优化审批流程、完善医保支付政策、推动医院加快采购等措施，适用于全国范围内的创新药企和医疗机构。此举将加速创新药临床应用，对创新药研发企业的商业化进程产生积极推动，并可能重塑医院药品准入和处方格局。</w:t>
      </w:r>
    </w:p>
    <w:p>
      <w:pPr>
        <w:spacing w:after="120"/>
        <w:jc w:val="both"/>
      </w:pPr>
      <w:r>
        <w:rPr>
          <w:b/>
          <w:bCs/>
        </w:rPr>
        <w:t xml:space="preserve">12. 国家医保局于7月22日发布111种限定适应症中药名单，并于7月31日开放2026年国家医保目录调整专家评审结果查询</w:t>
      </w:r>
    </w:p>
    <w:p>
      <w:pPr>
        <w:spacing w:after="120"/>
        <w:jc w:val="both"/>
      </w:pPr>
      <w:r>
        <w:t xml:space="preserve">2026年7月22日，国家医保局公布111种限定适应症的中药品种名单，明确医保支付范围仅限于所列适应症，要求相关企业据此调整说明书与推广策略。7月31日，国家医保局发布公告，2026年国家基本医保目录及商保创新药目录调整已完成专家评审，申报企业可登录指定平台查询阶段性结果。这一系列举措强化了医保精准支付，将对中药产品的临床使用和市场定位产生约束，同时推进目录调整进程，影响药企后续谈判策略。</w:t>
      </w:r>
    </w:p>
    <w:p>
      <w:pPr>
        <w:spacing w:after="120"/>
        <w:jc w:val="both"/>
      </w:pPr>
      <w:r>
        <w:rPr>
          <w:b/>
          <w:bCs/>
        </w:rPr>
        <w:t xml:space="preserve">13. 国家药监局于7月21日发布细胞与基因治疗新政，药审中心配套发布细胞治疗药品指导原则</w:t>
      </w:r>
    </w:p>
    <w:p>
      <w:pPr>
        <w:spacing w:after="120"/>
        <w:jc w:val="both"/>
      </w:pPr>
      <w:r>
        <w:t xml:space="preserve">2026年7月21日，国家药监局发布细胞与基因治疗（CGT）领域新政策，旨在加速产品审评审批、优化监管流程，明确分类、临床评价及上市后监管要求。此前，药审中心于7月3日已发布《细胞治疗药品范围和归类技术指导原则（2026年版）》，规范细胞治疗药品的分类管理。两项文件构成CGT领域监管框架的重要更新，为细胞与基因治疗产品的研发、注册和上市提供了更清晰的路径，预计将推动该赛道的加速发展，要求企业及时调整研发与合规策略。</w:t>
      </w:r>
    </w:p>
    <w:p>
      <w:pPr>
        <w:spacing w:after="120"/>
        <w:jc w:val="both"/>
      </w:pPr>
      <w:r>
        <w:rPr>
          <w:b/>
          <w:bCs/>
        </w:rPr>
        <w:t xml:space="preserve">14. 国家药监局于7月1日发布《关于化学原料药适用优先审评审批程序有关事宜的通告》</w:t>
      </w:r>
    </w:p>
    <w:p>
      <w:pPr>
        <w:spacing w:after="120"/>
        <w:jc w:val="both"/>
      </w:pPr>
      <w:r>
        <w:t xml:space="preserve">2026年7月1日，国家药监局发布通告（2026年第25号），明确化学原料药可适用药品上市许可优先审评审批工作程序，自发布之日起施行。通告规定了化学原料药申请优先审评的条件、流程及要求，符合条件的品种可缩短审评时限，加快临床急需原料药的上市。该政策对原料药企业构成利好，有助于提高原料药注册效率，促进仿制药和创新药配套原料药的供应保障，企业应对照要求积极申报。</w:t>
      </w:r>
    </w:p>
    <w:p>
      <w:pPr>
        <w:spacing w:after="120"/>
        <w:jc w:val="both"/>
      </w:pPr>
      <w:r>
        <w:rPr>
          <w:b/>
          <w:bCs/>
        </w:rPr>
        <w:t xml:space="preserve">15. 国家药品监督管理局药品审评中心于7月24日发布《药品注册发补新规》</w:t>
      </w:r>
    </w:p>
    <w:p>
      <w:pPr>
        <w:spacing w:after="120"/>
        <w:jc w:val="both"/>
      </w:pPr>
      <w:r>
        <w:t xml:space="preserve">2026年7月24日，国家药监局药品审评中心针对药品注册申请发布发补新规，明确14种可发补情形，包括资料不完整、数据不充分等，同时规定存在重大缺陷的申请直接不予批准。新规旨在优化审评流程、减少反复发补，自发布之日起适用于所有药品注册申请，有望提升审评效率并强化申请材料质量要求。</w:t>
      </w:r>
    </w:p>
    <w:p>
      <w:pPr>
        <w:spacing w:after="120"/>
        <w:jc w:val="both"/>
      </w:pPr>
      <w:r>
        <w:rPr>
          <w:b/>
          <w:bCs/>
        </w:rPr>
        <w:t xml:space="preserve">16. 国家药品监督管理局于7月20日发布《关于修订感冒灵口服制剂说明书的公告》</w:t>
      </w:r>
    </w:p>
    <w:p>
      <w:pPr>
        <w:spacing w:after="120"/>
        <w:jc w:val="both"/>
      </w:pPr>
      <w:r>
        <w:t xml:space="preserve">2026年7月20日，国家药监局发布公告，要求所有感冒灵口服制剂（含颗粒剂、胶囊剂、片剂等）持有人修订说明书，新增警示语，并修订不良反应、禁忌、注意事项等项。此次修订涉及数十亿元市场，旨在强化用药安全。持有人须于2026年10月20日前完成备案，并在备案后6个月内更新已上市药品的说明书及标签。此举将直接影响感冒灵类药品的生产与说明内容管理。</w:t>
      </w:r>
    </w:p>
    <w:p>
      <w:pPr>
        <w:pStyle w:val="Heading2"/>
        <w:spacing w:after="160" w:before="320"/>
      </w:pPr>
      <w:r>
        <w:t xml:space="preserve">美国监管</w:t>
      </w:r>
    </w:p>
    <w:p>
      <w:pPr>
        <w:spacing w:after="120"/>
        <w:jc w:val="both"/>
      </w:pPr>
      <w:r>
        <w:rPr>
          <w:i/>
          <w:iCs/>
          <w:color w:val="444444"/>
        </w:rPr>
        <w:t xml:space="preserve">【宏观判断】本期美国监管动向凸显FDA在审批效率与质量监管之间的再平衡。一方面，FDA确立单一试验加确证证据作为常规审批路径，并发布加速CMC准备战略，同时大幅拓宽癌症临床试验入组标准，显示对创新药加速上市的灵活支持。另一方面，质量监管显著收紧：一次签发14封完整回应函均因质量或检查缺陷，同时推出批准前检查必要性评估新指南，并提议收紧外国设施注册、合并分布式生产场地，表明对全球供应链风险的强管控。多肽注射剂指南临时更新和参比制剂裁定则反映复杂仿制药监管细化。叠加2027财年用户费上涨及特朗普对进口仿制药加征关税的突然政策，药企面临成本攀升与供应链重构压力。总体而言，监管正向更倚重确证性证据和包容性临床数据演进，但对质量体系和设施合规的要求升至新高度，企业须在追求加速路径的同时，确保CMC与质量体系无懈可击，并重新评估国际供应链布局。</w:t>
      </w:r>
    </w:p>
    <w:p>
      <w:pPr>
        <w:spacing w:after="120"/>
        <w:jc w:val="both"/>
      </w:pPr>
      <w:r>
        <w:rPr>
          <w:b/>
          <w:bCs/>
        </w:rPr>
        <w:t xml:space="preserve">17. 美国食品药品监督管理局（FDA）于7月5日发布政策，确立单一临床试验加确证性证据作为药品有效性常规申报路径</w:t>
      </w:r>
    </w:p>
    <w:p>
      <w:pPr>
        <w:spacing w:after="120"/>
        <w:jc w:val="both"/>
      </w:pPr>
      <w:r>
        <w:t xml:space="preserve">2026年7月5日，美国FDA宣布，将“一项充分且良好对照的临床试验加确证性证据”确立为满足药品有效性实质性证据标准的常规申报路径。此举改变以往多需两项临床试验的惯例，允许药企通过更精简的证据组合提交新药申请。政策适用于所有在美上市的新药和生物制品，旨在加速创新疗法获批，但同时要求企业确保临床试验设计严谨、确证性证据充分。行业需迅速调整临床开发策略，平衡速度与合规性，以利用这一灵活路径降低研发成本并缩短上市时间。</w:t>
      </w:r>
    </w:p>
    <w:p>
      <w:pPr>
        <w:spacing w:after="120"/>
        <w:jc w:val="both"/>
      </w:pPr>
      <w:r>
        <w:rPr>
          <w:b/>
          <w:bCs/>
        </w:rPr>
        <w:t xml:space="preserve">18. FDA于7月12日提议合并分布式生产场地并收紧外国设施注册要求</w:t>
      </w:r>
    </w:p>
    <w:p>
      <w:pPr>
        <w:spacing w:after="120"/>
        <w:jc w:val="both"/>
      </w:pPr>
      <w:r>
        <w:t xml:space="preserve">2026年7月12日，FDA提出拟议条例，计划合并分布式生产场地的注册信息并加强外国设施注册要求，以提升本土制药生产的监管透明度。该措施要求企业统一登记所有关联生产场地，并对海外设施实施更严格的合规审查。新规若落地，将显著提高跨国药企的合规成本与管理负担，迫使企业重新评估全球供应链布局，强化对外国供应商的审计与数据共享。此举旨在保障药品供应链安全，对依赖海外生产的药品持有人的运营策略构成重大影响，行业亟需关注后续正式法规及过渡期安排。</w:t>
      </w:r>
    </w:p>
    <w:p>
      <w:pPr>
        <w:spacing w:after="120"/>
        <w:jc w:val="both"/>
      </w:pPr>
      <w:r>
        <w:rPr>
          <w:b/>
          <w:bCs/>
        </w:rPr>
        <w:t xml:space="preserve">19. FDA于6月30日发布《批准前检查（PAI）必要性评估》新指南</w:t>
      </w:r>
    </w:p>
    <w:p>
      <w:pPr>
        <w:spacing w:after="120"/>
        <w:jc w:val="both"/>
      </w:pPr>
      <w:r>
        <w:t xml:space="preserve">2026年6月30日，FDA发布《批准前检查（PAI）必要性评估》最终指南，系统阐明了针对新药申请（NDA）和生物制品许可申请（BLA）决定启动PAI的评估因素与流程。指南旨在通过明确质量风险信号、生产场地特征及产品类型等考量点，减少不必要的现场检查，提高监管效率。企业可据此在申报前预判PAI触发概率，提前整改生产设施与质量体系。该指南强化了风险本位的监管思路，直接影响药品上市审评节奏，敦促申请人在整个研发周期内保持GMP合规状态，避免审批延迟。</w:t>
      </w:r>
    </w:p>
    <w:p>
      <w:pPr>
        <w:spacing w:after="120"/>
        <w:jc w:val="both"/>
      </w:pPr>
      <w:r>
        <w:rPr>
          <w:b/>
          <w:bCs/>
        </w:rPr>
        <w:t xml:space="preserve">20. FDA于7月13日一次性签发14封完整回应函，均因质量或检查缺陷</w:t>
      </w:r>
    </w:p>
    <w:p>
      <w:pPr>
        <w:spacing w:after="120"/>
        <w:jc w:val="both"/>
      </w:pPr>
      <w:r>
        <w:t xml:space="preserve">2026年7月13日，FDA集中签发了14封完整回应函（CRL），所有函件均明确指向药品质量或生产检查缺陷。涉及的新药申请或补充申请来自不同申请人，CRL要求企业必须解决生产设施或质量管理体系的不合规问题后方可获得批准。此次大规模拒批行动凸显了FDA对生产现场合规性的零容忍态度，向全行业释放强烈信号：质量缺陷已成为审评拦路虎。受影响企业需立即开展根本原因分析并实施纠正措施，否则将面临产品上市延误及持续合规风险。</w:t>
      </w:r>
    </w:p>
    <w:p>
      <w:pPr>
        <w:spacing w:after="120"/>
        <w:jc w:val="both"/>
      </w:pPr>
      <w:r>
        <w:rPr>
          <w:b/>
          <w:bCs/>
        </w:rPr>
        <w:t xml:space="preserve">21. FDA于7月23日发布战略文件，促进加速临床开发产品的CMC准备工作</w:t>
      </w:r>
    </w:p>
    <w:p>
      <w:pPr>
        <w:spacing w:after="120"/>
        <w:jc w:val="both"/>
      </w:pPr>
      <w:r>
        <w:t xml:space="preserve">2026年7月23日，FDA发布《促进加速临床开发产品化学、生产和控制（CMC）准备工作的战略文件》，针对创新药在快速研发通道中的CMC合规挑战提出系统应对方案。文件总结了FDA已采取的早期介入与灵活指导措施，并公布了2026-2027财年的强化计划，重点包括通过指南制定、沟通机制优化等手段，帮助申办方在加速审批路径下同步推进生产工艺验证与质量控制体系建设。此举旨在降低因CMC准备不足导致的审批延迟，对依赖突破性疗法认定或快速通道的新药开发者具有直接指导意义，有助于实现加速与合规的动态平衡。</w:t>
      </w:r>
    </w:p>
    <w:p>
      <w:pPr>
        <w:spacing w:after="120"/>
        <w:jc w:val="both"/>
      </w:pPr>
      <w:r>
        <w:rPr>
          <w:b/>
          <w:bCs/>
        </w:rPr>
        <w:t xml:space="preserve">22. FDA于7月30日公布2027财年处方药、仿制药、生物类似药及医疗器械用户费标准</w:t>
      </w:r>
    </w:p>
    <w:p>
      <w:pPr>
        <w:spacing w:after="120"/>
        <w:jc w:val="both"/>
      </w:pPr>
      <w:r>
        <w:t xml:space="preserve">2026年7月30日，FDA正式发布2027财年（2026年10月1日至2027年9月30日）的多类用户费标准，涵盖处方药、仿制药、生物类似药和医疗器械。费率依据各用户费修正案（PDUFA VII、GDUFA III、BsUFA III、MDUFA V）的法定公式计算，较上一财年有所上调，以反映运营成本变化。具体包含人用药品和生物制品申请审评费、项目费，仿制药申请费、药物主文件费、设施费，生物类似药开发费，以及医疗器械注册费等。新费率将于2026年10月1日生效，相关企业需将其纳入预算规划，并确保按时足额缴费，以避免审评时钟受阻。</w:t>
      </w:r>
    </w:p>
    <w:p>
      <w:pPr>
        <w:spacing w:after="120"/>
        <w:jc w:val="both"/>
      </w:pPr>
      <w:r>
        <w:rPr>
          <w:b/>
          <w:bCs/>
        </w:rPr>
        <w:t xml:space="preserve">23. FDA于7月28日定稿三项指南，大幅拓宽癌症临床试验入组标准</w:t>
      </w:r>
    </w:p>
    <w:p>
      <w:pPr>
        <w:spacing w:after="120"/>
        <w:jc w:val="both"/>
      </w:pPr>
      <w:r>
        <w:t xml:space="preserve">2026年7月28日，FDA同时定稿三项关于癌症临床试验资格标准的指南，内容涵盖实验室值、脑转移、HIV感染及肝肾功能不全等以往常被排除的人群。指南建议研究者基于科学证据而非简单排除性标准设置入组门槛，除非存在明确安全性风险。此举旨在提高试验结果的代表性与普适性，让更多患者有机会参与试验，并加速肿瘤新药研发。指南立即生效，适用于所有受FDA监管的癌症临床研究，要求申办方及机构审查委员会重新审视试验方案，推动更具包容性的临床设计。</w:t>
      </w:r>
    </w:p>
    <w:p>
      <w:pPr>
        <w:spacing w:after="120"/>
        <w:jc w:val="both"/>
      </w:pPr>
      <w:r>
        <w:rPr>
          <w:b/>
          <w:bCs/>
        </w:rPr>
        <w:t xml:space="preserve">24. FDA于7月29日临时发布17项多肽注射剂产品特定指南，并撤回旧版本</w:t>
      </w:r>
    </w:p>
    <w:p>
      <w:pPr>
        <w:spacing w:after="120"/>
        <w:jc w:val="both"/>
      </w:pPr>
      <w:r>
        <w:t xml:space="preserve">2026年7月29日，FDA临时发布17个多肽注射剂的药品特定指南（PSG），同时宣布撤回对应的旧版指南。这些PSG针对多种多肽注射剂，详细规定了仿制药开发的生物等效性研究设计、处方组成要求等关键要素。结合同期FDA对肽类药物界定及申报要求的澄清，相关指南可能显著影响包括GLP-1受体激动剂在内的多肽仿制药开发难度与路径。仿制药申请者需立即参照最新PSG调整研发策略和质量研究方案，以规避审批风险，确保申报合规性。</w:t>
      </w:r>
    </w:p>
    <w:p>
      <w:pPr>
        <w:spacing w:after="120"/>
        <w:jc w:val="both"/>
      </w:pPr>
      <w:r>
        <w:rPr>
          <w:b/>
          <w:bCs/>
        </w:rPr>
        <w:t xml:space="preserve">25. 美国食品药品监督管理局（FDA）于7月22日发布裁定，认定RASUVO未因安全或有效性原因撤市，确立参比制剂资格</w:t>
      </w:r>
    </w:p>
    <w:p>
      <w:pPr>
        <w:spacing w:after="120"/>
        <w:jc w:val="both"/>
      </w:pPr>
      <w:r>
        <w:t xml:space="preserve">2026年7月22日，美国食品药品监督管理局（FDA）正式裁定，RASUVO（甲氨蝶呤）注射液（27.5毫克/0.55毫升）并非因安全性或有效性问题而从市场上撤回。该认定具有关键监管意义，根据美国《联邦食品、药品和化妆品法案》，只有当原研药未被撤市时，药企方可基于此提交简化新药申请（ANDA）。因此，该裁定为其他制药公司开发并上市RASUVO的仿制药清除了核心法律障碍，前提是申请人满足所有其他法定及监管要求。此举将促进甲氨蝶呤注射液的市场竞争，可能降低医疗成本，并增加患者获取该免疫抑制药物的途径。</w:t>
      </w:r>
    </w:p>
    <w:p>
      <w:pPr>
        <w:spacing w:after="120"/>
        <w:jc w:val="both"/>
      </w:pPr>
      <w:r>
        <w:rPr>
          <w:b/>
          <w:bCs/>
        </w:rPr>
        <w:t xml:space="preserve">26. 美国前总统特朗普于7月22日宣布对进口仿制药征收高额关税，并设2年过渡期</w:t>
      </w:r>
    </w:p>
    <w:p>
      <w:pPr>
        <w:spacing w:after="120"/>
        <w:jc w:val="both"/>
      </w:pPr>
      <w:r>
        <w:t xml:space="preserve">2026年7月22日，美国前总统特朗普宣布对进口仿制药征收高额关税，并设定2年过渡期。该政策旨在促进美国本土仿制药生产，减少对外部供应的依赖。受影响企业需在过渡期内调整供应链或寻求豁免，以应对即将到来的贸易壁垒。此举可能重塑美国仿制药市场的竞争格局，推高进口药成本，并加速制药产业回流，但也引发了对药品可及性和医疗开支上升的担忧。</w:t>
      </w:r>
    </w:p>
    <w:p>
      <w:pPr>
        <w:pStyle w:val="Heading2"/>
        <w:spacing w:after="160" w:before="320"/>
      </w:pPr>
      <w:r>
        <w:t xml:space="preserve">欧洲监管</w:t>
      </w:r>
    </w:p>
    <w:p>
      <w:pPr>
        <w:spacing w:after="120"/>
        <w:jc w:val="both"/>
      </w:pPr>
      <w:r>
        <w:rPr>
          <w:i/>
          <w:iCs/>
          <w:color w:val="444444"/>
        </w:rPr>
        <w:t xml:space="preserve">【宏观判断】欧洲监管正呈现多轨并进态势：一方面，通过3D打印药品GMP指南和创新方法资格认定，EMA积极为先进制造与开发工具铺路，预示对技术创新的审评弹性正在增强；另一方面，多潘立酮禁忌更新、PRAC信号建议及CTIS违规分析，凸显了生命周期安全监测与合规透明成为持续高压线。Semaglutide生物等效性指南则标志着在重磅药物可及性压力下，仿制药开发路径正被精细雕琢。医疗器械豁免扩权与意大利创新评估并行，反映出从产品到市场准入的全链条决策愈加以风险-获益为轴心。对企业而言，必须在拥抱创新机遇的同时，构建实时警戒能力，并预判英国（MHRA）脱轨后仍能牵动欧盟标签协调的成本。</w:t>
      </w:r>
    </w:p>
    <w:p>
      <w:pPr>
        <w:spacing w:after="120"/>
        <w:jc w:val="both"/>
      </w:pPr>
      <w:r>
        <w:rPr>
          <w:b/>
          <w:bCs/>
        </w:rPr>
        <w:t xml:space="preserve">27. 欧盟官方公报于6月29日发布《MDR成熟医疗器械豁免扩大法案》</w:t>
      </w:r>
    </w:p>
    <w:p>
      <w:pPr>
        <w:spacing w:after="120"/>
        <w:jc w:val="both"/>
      </w:pPr>
      <w:r>
        <w:t xml:space="preserve">2026年6月29日，欧盟官方公报发布两项法规，大幅扩大《医疗器械法规》（MDR）下成熟技术（WET）医疗器械的豁免范围。新规明确将IIb类、III类及植入式器械纳入豁免范畴，旨在减轻相关企业的注册与合规负担，简化市场准入流程。这一举措回应了业界对MDR高合规成本的关切，有望加速成熟医疗器械在欧盟市场的供应。企业需密切关注具体豁免条件、适用标准以及过渡期安排，以确保及时调整策略并保持合规。该法案的出台基于对现有医疗器械安全性和性能数据的充分评估，认为此类成熟产品风险较低，豁免其部分繁琐程序可优化监管资源，同时保障患者用械可及性。</w:t>
      </w:r>
    </w:p>
    <w:p>
      <w:pPr>
        <w:spacing w:after="120"/>
        <w:jc w:val="both"/>
      </w:pPr>
      <w:r>
        <w:rPr>
          <w:b/>
          <w:bCs/>
        </w:rPr>
        <w:t xml:space="preserve">28. 英国药品与健康产品管理局（MHRA）于7月21日发布《多潘立酮产品信息更新》，新增嗜铬细胞瘤禁忌症</w:t>
      </w:r>
    </w:p>
    <w:p>
      <w:pPr>
        <w:spacing w:after="120"/>
        <w:jc w:val="both"/>
      </w:pPr>
      <w:r>
        <w:t xml:space="preserve">2026年7月21日，英国药品与健康产品管理局（MHRA）更新所有含多潘立酮成分药品的产品信息，新增禁忌症：确诊或疑似嗜铬细胞瘤患者禁用。嗜铬细胞瘤是一种罕见的肾上腺肿瘤，多潘立酮可能诱发严重高血压危象。此项更新基于对上市后不良事件报告的持续评估，立即生效并适用于所有剂型及规格。该决定旨在保障患者安全，要求处方医师在用药前排查相关风险因素，并向患者提供充分警示。此举将对多潘立酮在英国的临床使用和处方模式产生直接影响，尤其是消化科和儿科领域。</w:t>
      </w:r>
    </w:p>
    <w:p>
      <w:pPr>
        <w:spacing w:after="120"/>
        <w:jc w:val="both"/>
      </w:pPr>
      <w:r>
        <w:rPr>
          <w:b/>
          <w:bCs/>
        </w:rPr>
        <w:t xml:space="preserve">29. 欧洲药品管理局（EMA）于7月9日发布《3D打印制药GMP考量指南》</w:t>
      </w:r>
    </w:p>
    <w:p>
      <w:pPr>
        <w:spacing w:after="120"/>
        <w:jc w:val="both"/>
      </w:pPr>
      <w:r>
        <w:t xml:space="preserve">2026年7月9日，欧洲药品管理局（EMA）发布《3D打印制药良好生产规范（GMP）考量指南》，为采用3D打印技术生产人用药品的企业提供统一监管框架。指南详细阐述了设备验证、工艺控制、质量保证及风险管理等关键GMP要素，适用于个性化制剂、即时生产等场景。此举旨在确保3D打印药品的质量、安全性和有效性，推动该项创新技术在欧盟的规范化发展。指南将直接影响相关企业的设施设计、工艺验证及注册申报要求，促进监管机构与行业在先进制造领域的对话，并可能加速定制化药物的上市进程。</w:t>
      </w:r>
    </w:p>
    <w:p>
      <w:pPr>
        <w:spacing w:after="120"/>
        <w:jc w:val="both"/>
      </w:pPr>
      <w:r>
        <w:rPr>
          <w:b/>
          <w:bCs/>
        </w:rPr>
        <w:t xml:space="preserve">30. 意大利药品管理局（AIFA）于7月15日更新《药物治疗创新评估方法》</w:t>
      </w:r>
    </w:p>
    <w:p>
      <w:pPr>
        <w:spacing w:after="120"/>
        <w:jc w:val="both"/>
      </w:pPr>
      <w:r>
        <w:t xml:space="preserve">2026年7月15日，意大利药品管理局（AIFA）公布其更新的药物治疗创新评估方法，旨在更科学地衡量新药相对于现有疗法的临床价值。新方法纳入更细化的疗效比较维度、患者报告结局以及动态评估机制，以更全面反映创新程度。该更新将直接影响所有在意大利提交的药品定价与报销申请，企业需据此调整临床试验设计和证据生成策略，以符合新的评估标准。AIFA强调，该方法将使资源分配更趋合理，激励真正具有临床优势的药物创新。具体实施时间表和过渡期安排尚待进一步通知。</w:t>
      </w:r>
    </w:p>
    <w:p>
      <w:pPr>
        <w:spacing w:after="120"/>
        <w:jc w:val="both"/>
      </w:pPr>
      <w:r>
        <w:rPr>
          <w:b/>
          <w:bCs/>
        </w:rPr>
        <w:t xml:space="preserve">31. EMA药物警戒风险评估委员会（PRAC）于7月6日采纳一系列药物安全信号建议</w:t>
      </w:r>
    </w:p>
    <w:p>
      <w:pPr>
        <w:spacing w:after="120"/>
        <w:jc w:val="both"/>
      </w:pPr>
      <w:r>
        <w:t xml:space="preserve">2026年6月8至11日，欧洲药品管理局（EMA）药物警戒风险评估委员会（PRAC）召开会议，并于7月6日采纳了一系列关于药物安全信号的建议。这些信号覆盖心血管疾病、糖尿病、肿瘤等多个治疗领域，源自对上市后不良反应报告的系统分析。PRAC建议加强相关药物的安全监测，更新产品信息，并向医疗专业人员传达风险管控措施。此举旨在提升患者用药安全，确保临床实践及时获得最新证据。对制药企业而言，需密切关注信号评估进展，准备应对可能的说明书变更或额外风险评估要求，从而强化全生命周期药物警戒体系。</w:t>
      </w:r>
    </w:p>
    <w:p>
      <w:pPr>
        <w:spacing w:after="120"/>
        <w:jc w:val="both"/>
      </w:pPr>
      <w:r>
        <w:rPr>
          <w:b/>
          <w:bCs/>
        </w:rPr>
        <w:t xml:space="preserve">32. 欧洲药品管理局（EMA）于7月14日发布《Semaglutide及预填充笔注射液生物等效性指导》</w:t>
      </w:r>
    </w:p>
    <w:p>
      <w:pPr>
        <w:spacing w:after="120"/>
        <w:jc w:val="both"/>
      </w:pPr>
      <w:r>
        <w:t xml:space="preserve">2026年7月14日，欧洲药品管理局（EMA）发布针对Semaglutide及预填充笔注射液的产品特定生物等效性指导文件，涵盖不同规格间的生物等效性要求。Semaglutide为GLP-1受体激动剂，广泛用于2型糖尿病和肥胖症治疗。该指导明确了研究设计、受试者选择、参比制剂及统计方法等技术标准，旨在确保不同规格产品在安全性和有效性上的可互换性。此举将统一欧盟市场内的产品标准，减少注册变更中的重复研究，并促进仿制药及新规格的开发，最终惠及患者用药选择。</w:t>
      </w:r>
    </w:p>
    <w:p>
      <w:pPr>
        <w:spacing w:after="120"/>
        <w:jc w:val="both"/>
      </w:pPr>
      <w:r>
        <w:rPr>
          <w:b/>
          <w:bCs/>
        </w:rPr>
        <w:t xml:space="preserve">33. 欧洲药品管理局（EMA）于7月7日发布《药品开发中新方法资格认定申请者指导》</w:t>
      </w:r>
    </w:p>
    <w:p>
      <w:pPr>
        <w:spacing w:after="120"/>
        <w:jc w:val="both"/>
      </w:pPr>
      <w:r>
        <w:t xml:space="preserve">2026年7月7日，欧洲药品管理局（EMA）发布《药品开发中新方法资格认定：申请者指导》，为制药企业及研究机构提供清晰路径，以寻求新方法工具的监管资格认定。指导详细说明了从方法描述、科学验证到与EMA沟通的全过程，强调提供高质量证据证明方法的可靠性和适用性。获得资格认定将有助于加速新药开发、优化临床试验设计并提高审批效率。该指导反映了欧盟鼓励创新的监管导向，对推动新兴技术应用于药物研发及个性化医疗具有深远意义。</w:t>
      </w:r>
    </w:p>
    <w:p>
      <w:pPr>
        <w:spacing w:after="120"/>
        <w:jc w:val="both"/>
      </w:pPr>
      <w:r>
        <w:rPr>
          <w:b/>
          <w:bCs/>
        </w:rPr>
        <w:t xml:space="preserve">34. 研究团队于7月17日发布《欧盟临床试验信息系统严重违规案例定量与定性分析》</w:t>
      </w:r>
    </w:p>
    <w:p>
      <w:pPr>
        <w:spacing w:after="120"/>
        <w:jc w:val="both"/>
      </w:pPr>
      <w:r>
        <w:t xml:space="preserve">2026年7月17日，一项基于欧盟临床试验信息系统（CTIS）数据的研究公开披露，对系统报告中的严重违规案例进行了定量与定性分析。研究揭示了违规的类型分布、发生频率及常见根本原因，包括知情同意缺失、方案偏离、数据完整性不足等，并评估了现行报告机制的有效性与挑战。分析指出，约60%的违规与研究中心管理相关，强调加强培训与监查的必要性。此成果为监管机构优化CTIS监督功能、申办方强化质量管理体系提供了实证依据，有望提升欧盟临床试验的整体合规水平与受试者保护力度。</w:t>
      </w:r>
    </w:p>
    <w:p>
      <w:pPr>
        <w:pStyle w:val="Heading2"/>
        <w:spacing w:after="160" w:before="320"/>
      </w:pPr>
      <w:r>
        <w:t xml:space="preserve">其他国家和地区</w:t>
      </w:r>
    </w:p>
    <w:p>
      <w:pPr>
        <w:spacing w:after="120"/>
        <w:jc w:val="both"/>
      </w:pPr>
      <w:r>
        <w:rPr>
          <w:i/>
          <w:iCs/>
          <w:color w:val="444444"/>
        </w:rPr>
        <w:t xml:space="preserve">【宏观判断】GLP-1受体激动剂的安全性再添新关注点，新西兰Medsafe近期发布风险提示，指出此类药物可能引起皮肤感觉异常。这反映出全球监管机构正持续加强对GLP-1类药物的上市后监测，尤其是在神经精神系统不良反应方面。结合此前欧美对甲状腺癌、胃肠道梗阻等风险的审查，感觉异常警示进一步拓宽了该类药物的安全图谱，提示药企需系统性审视其产品潜在风险。对于监管事务团队而言，这意味着需紧急评估已有安全数据，更新风险管理计划，并准备在药品标签中增加相关警示。同时，应密切跟踪其他司法管辖区动态，因这类信号可能引发连锁监管行动，影响市场准入与患者用药信心。</w:t>
      </w:r>
    </w:p>
    <w:p>
      <w:pPr>
        <w:spacing w:after="120"/>
        <w:jc w:val="both"/>
      </w:pPr>
      <w:r>
        <w:rPr>
          <w:b/>
          <w:bCs/>
        </w:rPr>
        <w:t xml:space="preserve">35. 新西兰药品和医疗器械安全管理局（Medsafe）于7月31日发布《新西兰提示GLP-1受体激动剂致皮肤感觉异常风险》</w:t>
      </w:r>
    </w:p>
    <w:p>
      <w:pPr>
        <w:spacing w:after="120"/>
        <w:jc w:val="both"/>
      </w:pPr>
      <w:r>
        <w:t xml:space="preserve">2026年7月31日，新西兰药品和医疗器械安全管理局（Medsafe）发布安全信息，警示使用GLP-1受体激动剂（如司美格鲁肽、利拉鲁肽等）可能导致皮肤感觉异常，包括感觉减退、感觉过敏及灼热感等。该警示基于不良事件报告和文献证据，目前机制尚不明确。Medsafe建议医务人员和患者关注相关症状并及时报告，以进一步评估该风险。此举可能影响此类药物在当地的处方监测和患者用药管理，并引发对GLP-1类药物长期安全性更深入的研究。</w:t>
      </w:r>
    </w:p>
    <w:p>
      <w:pPr>
        <w:pStyle w:val="Heading1"/>
        <w:spacing w:after="160" w:before="320"/>
      </w:pPr>
      <w:r>
        <w:t xml:space="preserve">学术前沿</w:t>
      </w:r>
    </w:p>
    <w:p>
      <w:pPr>
        <w:pStyle w:val="Heading2"/>
        <w:spacing w:after="160" w:before="320"/>
      </w:pPr>
      <w:r>
        <w:t xml:space="preserve">真实世界数据与证据应用</w:t>
      </w:r>
    </w:p>
    <w:p>
      <w:pPr>
        <w:spacing w:after="120"/>
        <w:jc w:val="both"/>
      </w:pPr>
      <w:r>
        <w:rPr>
          <w:i/>
          <w:iCs/>
          <w:color w:val="444444"/>
        </w:rPr>
        <w:t xml:space="preserve">【宏观判断】本期真实世界数据与证据应用板块凸显了从信号检测到监管决策的全链条深化。日本外部对照臂注册案例与管理框架提炼，与ASSURE标准化安全信号评估框架呼应，表明全球监管正从个案探索转向系统化方法，强调不确定性的量化与透明沟通。多篇研究利用序列对称分析、目标试验模拟、高通量筛查等设计，精准评估他汀、非布司他、GLP-1等药物的安全性，并结合VigiBase等数据库实现主动监测。尤为值得关注的是，真实世界证据首次被纳入美国IRA药价谈判引用分析，标志着其从上市后安全拓展至市场准入与定价领域。对药企而言，必须前瞻性布局高质量真实世界数据与严谨方法学，以应对监管对全生命周期证据的期待，将安全信号转化为相称的循证标签，并在卫生技术评估中占据主动。</w:t>
      </w:r>
    </w:p>
    <w:p>
      <w:pPr>
        <w:spacing w:after="120"/>
        <w:jc w:val="both"/>
      </w:pPr>
      <w:r>
        <w:rPr>
          <w:b/>
          <w:bCs/>
        </w:rPr>
        <w:t xml:space="preserve">36. 《临床药理学与治疗学》发表《日本外部对照臂在药物注册中的监管实施与不确定性管理案例分析》（External Control Arms in Japan: A Systematic Case Analysis of Documented Regulatory Implementation and Uncertainty Management）</w:t>
      </w:r>
    </w:p>
    <w:p>
      <w:pPr>
        <w:spacing w:after="120"/>
        <w:jc w:val="both"/>
      </w:pPr>
      <w:r>
        <w:t xml:space="preserve">2026年7月26日，《临床药理学与治疗学》在线发表一项系统案例分析，评估日本外部对照臂（ECA）在药物注册中的监管实施。研究梳理了已记录的监管案例，分析了ECA在审评中的应用、证据标准及不确定性管理策略，为利用真实世界数据支持注册提供参考。</w:t>
      </w:r>
    </w:p>
    <w:p>
      <w:pPr>
        <w:spacing w:after="120"/>
        <w:jc w:val="both"/>
      </w:pPr>
      <w:r>
        <w:rPr>
          <w:color w:val="888888"/>
          <w:sz w:val="18"/>
          <w:szCs w:val="18"/>
        </w:rPr>
        <w:t xml:space="preserve">Citation: External Control Arms in Japan: A Systematic Case Analysis of Documented Regulatory Implementation and Uncertainty Management. Clinical Pharmacology &amp; Therapeutics. 2026. DOI: 10.1002/cpt.70406</w:t>
      </w:r>
    </w:p>
    <w:p>
      <w:pPr>
        <w:spacing w:after="120"/>
        <w:jc w:val="both"/>
      </w:pPr>
      <w:r>
        <w:rPr>
          <w:b/>
          <w:bCs/>
        </w:rPr>
        <w:t xml:space="preserve">37. 《临床药理学与治疗学》发表《他汀类药物安全信号：从谨慎到相称的循证标签》（Statins Safety Signals: From Precautions to Proportionate Evidence-Based Labeling）</w:t>
      </w:r>
    </w:p>
    <w:p>
      <w:pPr>
        <w:spacing w:after="120"/>
        <w:jc w:val="both"/>
      </w:pPr>
      <w:r>
        <w:t xml:space="preserve">2026年7月29日，《临床药理学与治疗学》在线发表研究，探讨他汀类药物安全信号的评估与标签管理。文章指出，随着真实世界证据的积累，部分安全信号需重新评估，并建议基于相称的循证方法更新药品标签，以平衡风险与获益，可能影响他汀类药物的处方信息和患者沟通策略。</w:t>
      </w:r>
    </w:p>
    <w:p>
      <w:pPr>
        <w:spacing w:after="120"/>
        <w:jc w:val="both"/>
      </w:pPr>
      <w:r>
        <w:rPr>
          <w:color w:val="888888"/>
          <w:sz w:val="18"/>
          <w:szCs w:val="18"/>
        </w:rPr>
        <w:t xml:space="preserve">Citation: Statins Safety Signals: From Precautions to Proportionate Evidence-Based Labeling. Clinical Pharmacology &amp; Therapeutics. 2026. DOI: 10.1002/cpt.70419</w:t>
      </w:r>
    </w:p>
    <w:p>
      <w:pPr>
        <w:spacing w:after="120"/>
        <w:jc w:val="both"/>
      </w:pPr>
      <w:r>
        <w:rPr>
          <w:b/>
          <w:bCs/>
        </w:rPr>
        <w:t xml:space="preserve">38. 《健康价值》发表《美国IRA首轮药价谈判中真实世界证据引用分析》（Real-World Evidence in the First Round of the United States Inflation Reduction Act Drug Price Negotiations: A Citation Analysis of the Centers for Medicare and Medicaid Services’ Maximum Fair Price Explanation Documents）</w:t>
      </w:r>
    </w:p>
    <w:p>
      <w:pPr>
        <w:spacing w:after="120"/>
        <w:jc w:val="both"/>
      </w:pPr>
      <w:r>
        <w:t xml:space="preserve">2026年7月31日，《健康价值》在线发表研究，分析美国《通胀削减法案》首轮药价谈判中，医疗保险和医疗补助服务中心（CMS）最高公平价格解释文件对真实世界证据（RWE）的引用情况。研究发现RWE被有限引用且质量参差不齐，提示其在政策决策中应用仍面临挑战。</w:t>
      </w:r>
    </w:p>
    <w:p>
      <w:pPr>
        <w:spacing w:after="120"/>
        <w:jc w:val="both"/>
      </w:pPr>
      <w:r>
        <w:rPr>
          <w:color w:val="888888"/>
          <w:sz w:val="18"/>
          <w:szCs w:val="18"/>
        </w:rPr>
        <w:t xml:space="preserve">Citation: Real-World Evidence in the First Round of the United States Inflation Reduction Act Drug Price Negotiations: A Citation Analysis of the Centers for Medicare and Medicaid Services’ Maximum Fair Price Explanation Documents. Value in Health. 2026. DOI: 10.1016/j.jval.2026.03.006</w:t>
      </w:r>
    </w:p>
    <w:p>
      <w:pPr>
        <w:spacing w:after="120"/>
        <w:jc w:val="both"/>
      </w:pPr>
      <w:r>
        <w:rPr>
          <w:b/>
          <w:bCs/>
        </w:rPr>
        <w:t xml:space="preserve">39. 《临床药理学与治疗学》发表《非布司他与别嘌醇在合并心血管疾病痛风患者中的心血管安全性比较》（Cardiovascular Safety of Febuxostat vs. Allopurinol in Gout Patients with Cardiovascular Diseases: A Target Trial Emulation）</w:t>
      </w:r>
    </w:p>
    <w:p>
      <w:pPr>
        <w:spacing w:after="120"/>
        <w:jc w:val="both"/>
      </w:pPr>
      <w:r>
        <w:t xml:space="preserve">2026年7月31日，《临床药理学与治疗学》在线发表一项目标试验模拟研究，比较非布司他与别嘌醇在合并心血管疾病的痛风患者中的心血管安全性。研究利用真实世界数据模拟随机对照试验，评估主要不良心血管事件风险，提示非布司他组风险可能高于别嘌醇组，为临床用药选择提供真实世界证据。</w:t>
      </w:r>
    </w:p>
    <w:p>
      <w:pPr>
        <w:spacing w:after="120"/>
        <w:jc w:val="both"/>
      </w:pPr>
      <w:r>
        <w:rPr>
          <w:color w:val="888888"/>
          <w:sz w:val="18"/>
          <w:szCs w:val="18"/>
        </w:rPr>
        <w:t xml:space="preserve">Citation: Cardiovascular Safety of Febuxostat vs. Allopurinol in Gout Patients with Cardiovascular Diseases: A Target Trial Emulation. Clinical Pharmacology &amp; Therapeutics. 2026. DOI: 10.1002/cpt.70403</w:t>
      </w:r>
    </w:p>
    <w:p>
      <w:pPr>
        <w:spacing w:after="120"/>
        <w:jc w:val="both"/>
      </w:pPr>
      <w:r>
        <w:rPr>
          <w:b/>
          <w:bCs/>
        </w:rPr>
        <w:t xml:space="preserve">40. 《临床药理学与治疗学》发表《GLP-1受体激动剂与神经精神疾病的处方序列对称分析》（Prescription Sequence Symmetry Analysis of Glucagon-Like Peptide-1 Receptor Agonists and Neuropsychiatric Conditions）</w:t>
      </w:r>
    </w:p>
    <w:p>
      <w:pPr>
        <w:spacing w:after="120"/>
        <w:jc w:val="both"/>
      </w:pPr>
      <w:r>
        <w:t xml:space="preserve">2026年7月31日，《临床药理学与治疗学》在线发表一项处方序列对称分析研究，评估GLP-1受体激动剂与神经精神疾病的关联。研究基于真实世界处方数据，分析用药前后事件发生率变化，显示使用与某些神经精神疾病风险增加相关，但需进一步验证因果关系，为药物安全性监测提供新证据。</w:t>
      </w:r>
    </w:p>
    <w:p>
      <w:pPr>
        <w:spacing w:after="120"/>
        <w:jc w:val="both"/>
      </w:pPr>
      <w:r>
        <w:rPr>
          <w:color w:val="888888"/>
          <w:sz w:val="18"/>
          <w:szCs w:val="18"/>
        </w:rPr>
        <w:t xml:space="preserve">Citation: Prescription Sequence Symmetry Analysis of Glucagon-Like Peptide-1 Receptor Agonists and Neuropsychiatric Conditions. Clinical Pharmacology &amp; Therapeutics. 2026. DOI: 10.1002/cpt.70414</w:t>
      </w:r>
    </w:p>
    <w:p>
      <w:pPr>
        <w:spacing w:after="120"/>
        <w:jc w:val="both"/>
      </w:pPr>
      <w:r>
        <w:rPr>
          <w:b/>
          <w:bCs/>
        </w:rPr>
        <w:t xml:space="preserve">41. 《临床药理学与治疗学》发表《乳腺癌全身治疗相关母胎并发症：VigiBase不成比例分析研究》（Maternal and Neonatal Complications Associated with Breast Cancer Systemic Treatments—A VigiBase Disproportionality Analysis Study）</w:t>
      </w:r>
    </w:p>
    <w:p>
      <w:pPr>
        <w:spacing w:after="120"/>
        <w:jc w:val="both"/>
      </w:pPr>
      <w:r>
        <w:t xml:space="preserve">2026年7月29日，《临床药理学与治疗学》在线发表一项基于VigiBase数据库的不成比例分析研究，评估乳腺癌全身治疗相关的母体及新生儿并发症。研究利用WHO全球药物警戒数据库，识别特定治疗与并发症的风险信号，提示部分治疗存在统计学关联，为孕期用药安全提供参考。</w:t>
      </w:r>
    </w:p>
    <w:p>
      <w:pPr>
        <w:spacing w:after="120"/>
        <w:jc w:val="both"/>
      </w:pPr>
      <w:r>
        <w:rPr>
          <w:color w:val="888888"/>
          <w:sz w:val="18"/>
          <w:szCs w:val="18"/>
        </w:rPr>
        <w:t xml:space="preserve">Citation: Maternal and Neonatal Complications Associated with Breast Cancer Systemic Treatments—A VigiBase Disproportionality Analysis Study. Clinical Pharmacology &amp; Therapeutics. 2026. DOI: 10.1002/cpt.70404</w:t>
      </w:r>
    </w:p>
    <w:p>
      <w:pPr>
        <w:spacing w:after="120"/>
        <w:jc w:val="both"/>
      </w:pPr>
      <w:r>
        <w:rPr>
          <w:b/>
          <w:bCs/>
        </w:rPr>
        <w:t xml:space="preserve">42. 《药物流行病学与药物安全》发表《养老院居民氯吡格雷与口服抗凝药联用大出血风险高通量筛查》（Drug–Drug Interaction Signals for Major Bleeding in Nursing Home Residents: High‐Throughput Screening of Clopidogrel and Oral Anticoagulants）</w:t>
      </w:r>
    </w:p>
    <w:p>
      <w:pPr>
        <w:spacing w:after="120"/>
        <w:jc w:val="both"/>
      </w:pPr>
      <w:r>
        <w:t xml:space="preserve">2026年7月24日，《药物流行病学与药物安全》在线发表一项高通量筛查研究，并于同年8月刊正式发表。该研究针对养老院居民中氯吡格雷与口服抗凝药联用导致大出血的药物相互作用信号进行筛查，利用真实世界数据识别到联用可能增加大出血风险，提示临床需谨慎评估联合用药方案。</w:t>
      </w:r>
    </w:p>
    <w:p>
      <w:pPr>
        <w:spacing w:after="120"/>
        <w:jc w:val="both"/>
      </w:pPr>
      <w:r>
        <w:rPr>
          <w:color w:val="888888"/>
          <w:sz w:val="18"/>
          <w:szCs w:val="18"/>
        </w:rPr>
        <w:t xml:space="preserve">Citation: Drug–Drug Interaction Signals for Major Bleeding in Nursing Home Residents: High‐Throughput Screening of Clopidogrel and Oral Anticoagulants. Pharmacoepidemiology and Drug Safety. 2026. DOI: 10.1002/pds.70441</w:t>
      </w:r>
    </w:p>
    <w:p>
      <w:pPr>
        <w:spacing w:after="120"/>
        <w:jc w:val="both"/>
      </w:pPr>
      <w:r>
        <w:rPr>
          <w:b/>
          <w:bCs/>
        </w:rPr>
        <w:t xml:space="preserve">43. 《药物流行病学与药物安全》发布《ASSURE框架：标准化真实世界证据支持药物安全信号评估》（Active Safety Surveillance Using Real‐World Evidence (ASSURE) Implementation: Transparent and Reproducible Real‐World Evidence Standardized Framework to Support Safety Signal Evaluation）</w:t>
      </w:r>
    </w:p>
    <w:p>
      <w:pPr>
        <w:spacing w:after="120"/>
        <w:jc w:val="both"/>
      </w:pPr>
      <w:r>
        <w:t xml:space="preserve">2026年7月24日，《药物流行病学与药物安全》在线发表ASSURE实施框架，旨在通过透明、可复现的真实世界证据（RWE）标准化流程支持药物安全信号评估。该框架由ISPE等机构开发，提供统一方法学指南，涵盖数据源选择、分析计划、结果报告等环节，适用于上市后药品安全监测。</w:t>
      </w:r>
    </w:p>
    <w:p>
      <w:pPr>
        <w:spacing w:after="120"/>
        <w:jc w:val="both"/>
      </w:pPr>
      <w:r>
        <w:rPr>
          <w:color w:val="888888"/>
          <w:sz w:val="18"/>
          <w:szCs w:val="18"/>
        </w:rPr>
        <w:t xml:space="preserve">Citation: Active Safety Surveillance Using Real‐World Evidence (ASSURE) Implementation: Transparent and Reproducible Real‐World Evidence Standardized Framework to Support Safety Signal Evaluation. Pharmacoepidemiology and Drug Safety. 2026. DOI: 10.1002/pds.70435</w:t>
      </w:r>
    </w:p>
    <w:p>
      <w:pPr>
        <w:pStyle w:val="Heading2"/>
        <w:spacing w:after="160" w:before="320"/>
      </w:pPr>
      <w:r>
        <w:t xml:space="preserve">监管政策与法规研究</w:t>
      </w:r>
    </w:p>
    <w:p>
      <w:pPr>
        <w:spacing w:after="120"/>
        <w:jc w:val="both"/>
      </w:pPr>
      <w:r>
        <w:rPr>
          <w:i/>
          <w:iCs/>
          <w:color w:val="444444"/>
        </w:rPr>
        <w:t xml:space="preserve">【宏观判断】本期监管研究呈现从传统审慎向证据驱动、灵活精准的风险管理转型。他汀类药物标签更新强调基于真实世界证据的比例化安全信号评估，替代过度谨慎；治疗性疫苗非临床研究综述显示审评机构对特殊产品种属选择的科学灵活性；日本外部对照臂案例分析凸显监管对创新设计接纳的同时，要求系统性不确定性管理。三者共同指向监管科学对多元证据（真实世界数据、新型毒理学、外部对照）的整合趋势，旨在平衡效率与严谨性。对药企与监管事务而言，需主动构建高质量循证体系，适应动态审评预期，在对话中融入新兴方法学，以优化产品全生命周期策略。</w:t>
      </w:r>
    </w:p>
    <w:p>
      <w:pPr>
        <w:spacing w:after="120"/>
        <w:jc w:val="both"/>
      </w:pPr>
      <w:r>
        <w:rPr>
          <w:b/>
          <w:bCs/>
        </w:rPr>
        <w:t xml:space="preserve">44. 《临床药理学与治疗学》发表《他汀类药物安全信号：从谨慎到基于证据的合理标签》（Statins Safety Signals: From Precautions to Proportionate Evidence‐Based Labeling）</w:t>
      </w:r>
    </w:p>
    <w:p>
      <w:pPr>
        <w:spacing w:after="120"/>
        <w:jc w:val="both"/>
      </w:pPr>
      <w:r>
        <w:t xml:space="preserve">《临床药理学与治疗学》于2026年7月29日在线发表研究，系统探讨他汀类药物安全信号的评估与标签更新问题。研究指出，随着真实世界证据的不断积累，部分既往安全警告可能过于谨慎，未能全面权衡药物的整体风险与临床获益。作者呼吁监管机构采用基于比例的风险-获益分析方法，推动标签合理修订，在保障患者安全的同时充分发挥他汀类药物的心血管保护作用。该观点对监管科学中基于证据的标签更新具有重要参考意义。</w:t>
      </w:r>
    </w:p>
    <w:p>
      <w:pPr>
        <w:spacing w:after="120"/>
        <w:jc w:val="both"/>
      </w:pPr>
      <w:r>
        <w:rPr>
          <w:color w:val="888888"/>
          <w:sz w:val="18"/>
          <w:szCs w:val="18"/>
        </w:rPr>
        <w:t xml:space="preserve">Citation: Statins Safety Signals: From Precautions to Proportionate Evidence‐Based Labeling. Clinical Pharmacology &amp; Therapeutics. 2026. DOI: 10.1002/cpt.70419</w:t>
      </w:r>
    </w:p>
    <w:p>
      <w:pPr>
        <w:spacing w:after="120"/>
        <w:jc w:val="both"/>
      </w:pPr>
      <w:r>
        <w:rPr>
          <w:b/>
          <w:bCs/>
        </w:rPr>
        <w:t xml:space="preserve">45. 《监管毒理学与药理学》发表《治疗性疫苗非临床毒理学监管考虑与种属选择综述》（Non-clinical toxicology of therapeutic vaccines: Regulatory considerations and species selection: A comprehensive review）</w:t>
      </w:r>
    </w:p>
    <w:p>
      <w:pPr>
        <w:spacing w:after="120"/>
        <w:jc w:val="both"/>
      </w:pPr>
      <w:r>
        <w:t xml:space="preserve">《监管毒理学与药理学》期刊2026年11月刊发表综述，全面梳理治疗性疫苗非临床毒理学研究的监管要求与动物种属选择原则。文章涵盖疫苗特异性毒性评估、免疫原性影响、生殖毒性等关键考量，并比较不同监管框架下的差异。综述强调，治疗性疫苗因作用机制特殊需定制化毒理学方案，种属选择直接影响免疫毒性评价的科学性。该综述为疫苗开发者优化非临床开发策略、满足全球监管期望提供了系统科学依据。</w:t>
      </w:r>
    </w:p>
    <w:p>
      <w:pPr>
        <w:spacing w:after="120"/>
        <w:jc w:val="both"/>
      </w:pPr>
      <w:r>
        <w:rPr>
          <w:color w:val="888888"/>
          <w:sz w:val="18"/>
          <w:szCs w:val="18"/>
        </w:rPr>
        <w:t xml:space="preserve">Citation: Non-clinical toxicology of therapeutic vaccines: Regulatory considerations and species selection: A comprehensive review. Regulatory Toxicology and Pharmacology. 2026. DOI: 10.1016/j.yrtph.2026.106133</w:t>
      </w:r>
    </w:p>
    <w:p>
      <w:pPr>
        <w:spacing w:after="120"/>
        <w:jc w:val="both"/>
      </w:pPr>
      <w:r>
        <w:rPr>
          <w:b/>
          <w:bCs/>
        </w:rPr>
        <w:t xml:space="preserve">46. 《临床药理学与治疗学》发表《日本外部对照臂监管实施与不确定性管理的系统案例分析》（External Control Arms in Japan: A Systematic Case Analysis of Documented Regulatory Implementation and Uncertainty Management）</w:t>
      </w:r>
    </w:p>
    <w:p>
      <w:pPr>
        <w:spacing w:after="120"/>
        <w:jc w:val="both"/>
      </w:pPr>
      <w:r>
        <w:t xml:space="preserve">《临床药理学与治疗学》在线发表系统案例研究，分析日本外部对照臂（ECA）在监管申报中的实际应用。研究系统梳理了已公开的监管案例，总结外部对照臂在药物审评中的实施情况、证据标准及不确定性管理策略。该研究为在缺乏随机对照试验时，利用真实世界数据构建外部对照臂以支持药品注册提供了实践参考，有助于推动基于真实世界证据的监管框架完善。</w:t>
      </w:r>
    </w:p>
    <w:p>
      <w:pPr>
        <w:spacing w:after="120"/>
        <w:jc w:val="both"/>
      </w:pPr>
      <w:r>
        <w:rPr>
          <w:color w:val="888888"/>
          <w:sz w:val="18"/>
          <w:szCs w:val="18"/>
        </w:rPr>
        <w:t xml:space="preserve">Citation: External Control Arms in Japan: A Systematic Case Analysis of Documented Regulatory Implementation and Uncertainty Management. Clinical Pharmacology &amp; Therapeutics. 2026. DOI: 10.1002/cpt.70406</w:t>
      </w:r>
    </w:p>
    <w:p>
      <w:pPr>
        <w:pStyle w:val="Heading2"/>
        <w:spacing w:after="160" w:before="320"/>
      </w:pPr>
      <w:r>
        <w:t xml:space="preserve">方法创新与统计</w:t>
      </w:r>
    </w:p>
    <w:p>
      <w:pPr>
        <w:spacing w:after="120"/>
        <w:jc w:val="both"/>
      </w:pPr>
      <w:r>
        <w:rPr>
          <w:i/>
          <w:iCs/>
          <w:color w:val="444444"/>
        </w:rPr>
        <w:t xml:space="preserve">【宏观判断】当前方法创新与统计板块体现出监管科学对复杂定量方法的加速接纳，但要求严谨的实践框架。贝叶斯证据框架的监管就绪性讨论，以及基于模型的CAR-T动力学分析，表明FDA、EMA等机构正为先进疗法和全程证据整合开放非线性、模型化路径。同时，儿科外推策略利用PK/PD建模争取批准，反映出监管对采用创新方法解决特殊人群数据缺乏的认可，但需明确外推条件。超罕见病评估的证据图谱揭示碎片化证据的整合需求，而德尔菲研究的透明赞助报告指南则强调方法透明度和利益冲突管理。这些动态相互关联：监管机构既要推动方法创新以应对未满足需求，又需通过指南确立可信度标准。对药企而言，早期与监管沟通创新设计、遵循新兴报告标准成为关键；监管事务专业人员则必须掌握贝叶斯、外推和模型等方法论，以支持高效、合规的审评互动。</w:t>
      </w:r>
    </w:p>
    <w:p>
      <w:pPr>
        <w:spacing w:after="120"/>
        <w:jc w:val="both"/>
      </w:pPr>
      <w:r>
        <w:rPr>
          <w:b/>
          <w:bCs/>
        </w:rPr>
        <w:t xml:space="preserve">47. 《治疗创新与监管科学》发表《贝叶斯证据框架在临床开发与药物警戒中的监管就绪性：FDA、EMA和ICH指南的实践期望》（A Regulatory-Ready Bayesian Evidence Framework across Clinical Development and Pharmacovigilance: Practical Expectations from FDA, EMA, and ICH Guidance）</w:t>
      </w:r>
    </w:p>
    <w:p>
      <w:pPr>
        <w:spacing w:after="120"/>
        <w:jc w:val="both"/>
      </w:pPr>
      <w:r>
        <w:t xml:space="preserve">2026年7月14日，一项研究在《治疗创新与监管科学》发表，系统梳理美国FDA、欧洲EMA及ICH关于贝叶斯方法的指南，提出一个涵盖临床开发与药物警戒的监管就绪框架，包含四项关键交付物：外部信息与先验规范、决策标准与模拟操作特征、结构化敏感性分析，以及透明性与可重复性。文章指出，FDA于2026年1月发布的贝叶斯方法草案指南强调先验论证、操作特征前瞻性评估和计算透明度，该框架与跨机构期望高度一致，为贝叶斯方法在监管决策中的实践应用提供了清晰路径。</w:t>
      </w:r>
    </w:p>
    <w:p>
      <w:pPr>
        <w:spacing w:after="120"/>
        <w:jc w:val="both"/>
      </w:pPr>
      <w:r>
        <w:rPr>
          <w:color w:val="888888"/>
          <w:sz w:val="18"/>
          <w:szCs w:val="18"/>
        </w:rPr>
        <w:t xml:space="preserve">Citation: A Regulatory-Ready Bayesian Evidence Framework across Clinical Development and Pharmacovigilance: Practical Expectations from FDA, EMA, and ICH Guidance. Therapeutic Innovation &amp; Regulatory Science. 2026. DOI:10.1007/s43441-026-01014-x</w:t>
      </w:r>
    </w:p>
    <w:p>
      <w:pPr>
        <w:spacing w:after="120"/>
        <w:jc w:val="both"/>
      </w:pPr>
      <w:r>
        <w:rPr>
          <w:b/>
          <w:bCs/>
        </w:rPr>
        <w:t xml:space="preserve">48. 《治疗创新与监管科学》发表《行业关联德尔菲研究透明赞助报告指南（TRIAD）》（Guidance on Transparent Sponsorship Reporting in Industry Associated Delphi Studies (TRIAD): Recommendations Based on a Systematic Review）</w:t>
      </w:r>
    </w:p>
    <w:p>
      <w:pPr>
        <w:spacing w:after="120"/>
        <w:jc w:val="both"/>
      </w:pPr>
      <w:r>
        <w:t xml:space="preserve">2026年7月19日，《治疗创新与监管科学》发布基于系统综述的TRIAD指南，旨在规范行业资助德尔菲研究中的赞助报告。指南明确提出，研究须透明披露资金来源、利益冲突及研究独立性，以增强方法学可信度和结果可重复性。该工具适用于制药企业、医疗器械公司、学术机构及监管事务人员，贯穿研究设计、实施与发表全过程，有助于提升行业共识方法的严谨性，并回应了学界对商业利益影响科学判断的担忧。</w:t>
      </w:r>
    </w:p>
    <w:p>
      <w:pPr>
        <w:spacing w:after="120"/>
        <w:jc w:val="both"/>
      </w:pPr>
      <w:r>
        <w:rPr>
          <w:color w:val="888888"/>
          <w:sz w:val="18"/>
          <w:szCs w:val="18"/>
        </w:rPr>
        <w:t xml:space="preserve">Citation: Guidance on Transparent Sponsorship Reporting in Industry Associated Delphi Studies (TRIAD): Recommendations Based on a Systematic Review. Therapeutic Innovation &amp; Regulatory Science. 2026. DOI:10.1007/s43441-026-01015-w</w:t>
      </w:r>
    </w:p>
    <w:p>
      <w:pPr>
        <w:spacing w:after="120"/>
        <w:jc w:val="both"/>
      </w:pPr>
      <w:r>
        <w:rPr>
          <w:b/>
          <w:bCs/>
        </w:rPr>
        <w:t xml:space="preserve">49. 《健康价值》发表《超罕见病诊疗技术评估证据图谱：系统范围综述》（Evidence mapping of concepts, methods, and outcomes in the evaluation of diagnostic and therapeutic technologies for ultra-rare diseases: a systematic scoping review）</w:t>
      </w:r>
    </w:p>
    <w:p>
      <w:pPr>
        <w:spacing w:after="120"/>
        <w:jc w:val="both"/>
      </w:pPr>
      <w:r>
        <w:t xml:space="preserve">2026年7月14日，巴西学者领衔在《健康价值》在线发表系统范围综述，系统梳理超罕见病诊断与治疗技术卫生技术评估中使用的概念、方法和结局指标。研究发现，现有评估框架在极低发病率场景下面临证据稀缺、不确定性高以及价值维度难以标准化等挑战。综述归纳了常用的评估维度和结局，绘制出当前证据全景，为卫生技术评估机构及制药企业制定超罕见病产品的价值证据策略提供了系统性参考，助力优化资源配置和准入决策。</w:t>
      </w:r>
    </w:p>
    <w:p>
      <w:pPr>
        <w:spacing w:after="120"/>
        <w:jc w:val="both"/>
      </w:pPr>
      <w:r>
        <w:rPr>
          <w:color w:val="888888"/>
          <w:sz w:val="18"/>
          <w:szCs w:val="18"/>
        </w:rPr>
        <w:t xml:space="preserve">Citation: Evidence mapping of concepts, methods, and outcomes in the evaluation of diagnostic and therapeutic technologies for ultra-rare diseases: a systematic scoping review. Value in Health. 2026. DOI:10.1016/j.jval.2026.06.015</w:t>
      </w:r>
    </w:p>
    <w:p>
      <w:pPr>
        <w:spacing w:after="120"/>
        <w:jc w:val="both"/>
      </w:pPr>
      <w:r>
        <w:rPr>
          <w:b/>
          <w:bCs/>
        </w:rPr>
        <w:t xml:space="preserve">50. 《临床药理学与治疗学》发表《神经精神药物开发中的儿科外推：利用药代动力学和药效学策略促进FDA批准》（Pediatric Extrapolation in Neuropsychiatric Drug Development: Leveraging Pharmacokinetic and Pharmacodynamic Strategies to Facilitate FDA Approvals）</w:t>
      </w:r>
    </w:p>
    <w:p>
      <w:pPr>
        <w:spacing w:after="120"/>
        <w:jc w:val="both"/>
      </w:pPr>
      <w:r>
        <w:t xml:space="preserve">2026年7月31日，《临床药理学与治疗学》在线发表一篇综述，探讨在神经精神药物研发中运用儿科外推策略，借助药代动力学与药效学模型支持美国FDA审批。文章总结了现行监管框架、科学依据及典型案例，强调通过模型引导的药物开发可优化儿科剂量选择、减少非必要的儿科临床试验，从而加速药物在儿童患者中的可及性。该文对制药业应用定量药理方法满足儿科监管要求、提升研发效率具有重要参考价值。</w:t>
      </w:r>
    </w:p>
    <w:p>
      <w:pPr>
        <w:spacing w:after="120"/>
        <w:jc w:val="both"/>
      </w:pPr>
      <w:r>
        <w:rPr>
          <w:color w:val="888888"/>
          <w:sz w:val="18"/>
          <w:szCs w:val="18"/>
        </w:rPr>
        <w:t xml:space="preserve">Citation: Pediatric Extrapolation in Neuropsychiatric Drug Development: Leveraging Pharmacokinetic and Pharmacodynamic Strategies to Facilitate FDA Approvals. Clinical Pharmacology &amp; Therapeutics. 2026. DOI:10.1002/cpt.70412</w:t>
      </w:r>
    </w:p>
    <w:p>
      <w:pPr>
        <w:spacing w:after="120"/>
        <w:jc w:val="both"/>
      </w:pPr>
      <w:r>
        <w:rPr>
          <w:b/>
          <w:bCs/>
        </w:rPr>
        <w:t xml:space="preserve">51. 《临床药理学与治疗学》发表《基于模型的CAR-T细胞治疗动力学机制分析：以Axicabtagene Ciloleucel和Brexucabtagene Autoleucel为例》（Model‐Based Analysis with Mechanistic Insights to CAR‐T‐Cell Therapy Kinetics: Case Study with Axicabtagene Ciloleucel and Brexucabtagene Autoleucel）</w:t>
      </w:r>
    </w:p>
    <w:p>
      <w:pPr>
        <w:spacing w:after="120"/>
        <w:jc w:val="both"/>
      </w:pPr>
      <w:r>
        <w:t xml:space="preserve">2026年7月22日，《临床药理学与治疗学》杂志在线发表一项建模研究，以两款已上市的CAR-T细胞产品Axicabtagene Ciloleucel和Brexucabtagene Autoleucel为例，对其体内动力学进行机制性定量分析。模型揭示了CAR-T细胞扩增、持久性与疗效及安全性终点的关联，为优化给药方案、个体化治疗提供定量依据。该工作展示了基于模型的药物动力学分析在细胞基因治疗监管决策中的潜力，为推进此类产品剂量优化和个体化医疗提供了方法学支持。</w:t>
      </w:r>
    </w:p>
    <w:p>
      <w:pPr>
        <w:spacing w:after="120"/>
        <w:jc w:val="both"/>
      </w:pPr>
      <w:r>
        <w:rPr>
          <w:color w:val="888888"/>
          <w:sz w:val="18"/>
          <w:szCs w:val="18"/>
        </w:rPr>
        <w:t xml:space="preserve">Citation: Model‐Based Analysis with Mechanistic Insights to CAR‐T‐Cell Therapy Kinetics: Case Study with Axicabtagene Ciloleucel and Brexucabtagene Autoleucel. Clinical Pharmacology &amp; Therapeutics. 2026. DOI:10.1002/cpt.70395</w:t>
      </w:r>
    </w:p>
    <w:p>
      <w:pPr>
        <w:pStyle w:val="Heading2"/>
        <w:spacing w:after="160" w:before="320"/>
      </w:pPr>
      <w:r>
        <w:t xml:space="preserve">人工智能与数字医疗</w:t>
      </w:r>
    </w:p>
    <w:p>
      <w:pPr>
        <w:spacing w:after="120"/>
        <w:jc w:val="both"/>
      </w:pPr>
      <w:r>
        <w:rPr>
          <w:i/>
          <w:iCs/>
          <w:color w:val="444444"/>
        </w:rPr>
        <w:t xml:space="preserve">【宏观判断】人工智能与数字医疗板块本期聚焦应用落地与证据构建的辩证推进。整体动向表明，AI正从潜力探讨转向具体场景的效率验证，但更强调必须建立坚实的证据基础，否则难以获得监管与临床采纳。值得关注的是，药物警戒安全信号评估与系统文献综述等核心工作流中，AI已展现可量化的效率提升，这为证据生成提供了直接数据支撑。趋势上，零散的成功案例正促使行业呼吁系统化的证据框架，实现从'AI可能有用'到'AI经过验证'的关键转向。对药企与监管事务读者而言，这意味着需主动将AI试点与严格的证据生成计划结合，监管方则需加速制定评价标准，以确保创新不脱离患者安全与数据可靠性的底线。</w:t>
      </w:r>
    </w:p>
    <w:p>
      <w:pPr>
        <w:spacing w:after="120"/>
        <w:jc w:val="both"/>
      </w:pPr>
      <w:r>
        <w:rPr>
          <w:b/>
          <w:bCs/>
        </w:rPr>
        <w:t xml:space="preserve">52. 《英国医学杂志》发表《AI可能有助于NHS——但我们需要建立证据基础》（AI might help the NHS—but we need to build the evidence）</w:t>
      </w:r>
    </w:p>
    <w:p>
      <w:pPr>
        <w:spacing w:after="120"/>
        <w:jc w:val="both"/>
      </w:pPr>
      <w:r>
        <w:t xml:space="preserve">英国国家医疗服务体系（NHS England）宣布加速推广AI技术，计划三年内投资100亿英镑，预计实现十年计划中约一半的承诺并产生总计410亿英镑收益。英国医学杂志（BMJ）就此发表社论指出，在如此大规模公共资金投入下，决策应透明且基于证据，并呼吁对AI技术建立类似药品的监管和评估机制，以保障患者安全与资源有效利用。</w:t>
      </w:r>
    </w:p>
    <w:p>
      <w:pPr>
        <w:spacing w:after="120"/>
        <w:jc w:val="both"/>
      </w:pPr>
      <w:r>
        <w:rPr>
          <w:color w:val="888888"/>
          <w:sz w:val="18"/>
          <w:szCs w:val="18"/>
        </w:rPr>
        <w:t xml:space="preserve">Citation: BMJ. AI might help the NHS—but we need to build the evidence. BMJ. 2026. DOI:10.1136/bmj-2026-100390</w:t>
      </w:r>
    </w:p>
    <w:p>
      <w:pPr>
        <w:spacing w:after="120"/>
        <w:jc w:val="both"/>
      </w:pPr>
      <w:r>
        <w:rPr>
          <w:b/>
          <w:bCs/>
        </w:rPr>
        <w:t xml:space="preserve">53. 《临床药理学与治疗学》发表《智能自动化提升药物警戒安全信号评估效率》（Intelligent Automation Improved Efficiency in Pharmacovigilance Safety Signal Assessment）</w:t>
      </w:r>
    </w:p>
    <w:p>
      <w:pPr>
        <w:spacing w:after="120"/>
        <w:jc w:val="both"/>
      </w:pPr>
      <w:r>
        <w:t xml:space="preserve">2026年7月29日，《临床药理学与治疗学》在线发表了一项评估智能自动化在药物警戒安全信号评估中应用的研究。该研究显示，智能自动化技术能显著提高信号评估效率，减少人工工作量，同时保持评估质量。研究建议制药企业在药物警戒流程中引入智能自动化工具，以优化资源配置并提升监管合规能力，对完善数字医疗时代的药物安全监管具有实践意义。</w:t>
      </w:r>
    </w:p>
    <w:p>
      <w:pPr>
        <w:spacing w:after="120"/>
        <w:jc w:val="both"/>
      </w:pPr>
      <w:r>
        <w:rPr>
          <w:color w:val="888888"/>
          <w:sz w:val="18"/>
          <w:szCs w:val="18"/>
        </w:rPr>
        <w:t xml:space="preserve">Citation: 作者. Intelligent Automation Improved Efficiency in Pharmacovigilance Safety Signal Assessment. Clin Pharmacol Ther. 2026. DOI:10.1002/cpt.70409</w:t>
      </w:r>
    </w:p>
    <w:p>
      <w:pPr>
        <w:spacing w:after="120"/>
        <w:jc w:val="both"/>
      </w:pPr>
      <w:r>
        <w:rPr>
          <w:b/>
          <w:bCs/>
        </w:rPr>
        <w:t xml:space="preserve">54. 《健康价值》发表《生成式人工智能在系统文献综述中的应用：一项快速文献回顾》（The Use of Generative Artificial Intelligence in Systematic Literature Reviews: A Rapid Review of the Literature）</w:t>
      </w:r>
    </w:p>
    <w:p>
      <w:pPr>
        <w:spacing w:after="120"/>
        <w:jc w:val="both"/>
      </w:pPr>
      <w:r>
        <w:t xml:space="preserve">2026年7月14日，《Value in Health》在线发表了Fleurence等学者完成的快速文献回顾，系统评估了生成式人工智能在系统文献综述各步骤中的使用现状、挑战与机遇。研究指出，GenAI有望提升证据综合效率，但仍需解决透明度与可靠性等问题，并提出未来研究方向。该成果为卫生技术评估与监管决策中的证据生成方法提供了新视角。</w:t>
      </w:r>
    </w:p>
    <w:p>
      <w:pPr>
        <w:spacing w:after="120"/>
        <w:jc w:val="both"/>
      </w:pPr>
      <w:r>
        <w:rPr>
          <w:color w:val="888888"/>
          <w:sz w:val="18"/>
          <w:szCs w:val="18"/>
        </w:rPr>
        <w:t xml:space="preserve">Citation: Fleurence R, et al. The Use of Generative Artificial Intelligence in Systematic Literature Reviews: A Rapid Review of the Literature. Value Health. 2026. DOI:</w:t>
      </w:r>
    </w:p>
    <w:p>
      <w:pPr>
        <w:pStyle w:val="Heading1"/>
        <w:spacing w:after="160" w:before="320"/>
      </w:pPr>
      <w:r>
        <w:t xml:space="preserve">行业动态</w:t>
      </w:r>
    </w:p>
    <w:p>
      <w:pPr>
        <w:pStyle w:val="Heading2"/>
        <w:spacing w:after="160" w:before="320"/>
      </w:pPr>
      <w:r>
        <w:t xml:space="preserve">行业与市场动态</w:t>
      </w:r>
    </w:p>
    <w:p>
      <w:pPr>
        <w:spacing w:after="120"/>
        <w:jc w:val="both"/>
      </w:pPr>
      <w:r>
        <w:rPr>
          <w:i/>
          <w:iCs/>
          <w:color w:val="444444"/>
        </w:rPr>
        <w:t xml:space="preserve">【宏观判断】国家将生物医药提升至新兴支柱产业高度，监管层面随之通过缩短细胞与基因治疗产品审评时限等举措精准发力，形成从宏观支持到微观加速的政策闭环。这一联动释放出清晰信号：鼓励前沿创新、加速临床转化已成为产业核心导向。对于药企，尤其细胞与基因治疗领域，需把握政策窗口，加快研发与申报节奏，并借助审评加速抢占市场先机。监管事务团队则应深入解读加速路径，提前对接沟通，确保合规前提下最大化利用审评红利。整体趋势显示我国生物医药正在向全球创新前沿迈进，差异化、国际化布局成为关键。</w:t>
      </w:r>
    </w:p>
    <w:p>
      <w:pPr>
        <w:spacing w:after="120"/>
        <w:jc w:val="both"/>
      </w:pPr>
      <w:r>
        <w:rPr>
          <w:b/>
          <w:bCs/>
        </w:rPr>
        <w:t xml:space="preserve">55. 国务院常务会议于7月13日专题研究部署生物医药等新兴支柱产业发展</w:t>
      </w:r>
    </w:p>
    <w:p>
      <w:pPr>
        <w:spacing w:after="120"/>
        <w:jc w:val="both"/>
      </w:pPr>
      <w:r>
        <w:t xml:space="preserve">国务院常务会议于7月13日专题研究部署生物医药等新兴支柱产业发展，强调强化科技创新引领，优化产业布局，完善全链条政策支持体系。会议着力破除体制机制障碍，加大金融支持与人才培育力度，旨在加速新药研发与产业化进程，提升产业链供应链韧性与安全水平。此举将生物医药提升至国家战略核心地位，预计显著改善行业营商环境，推动创新药械加速上市，对相关企业研发投入、市场准入及长期增长预期带来深远积极影响。</w:t>
      </w:r>
    </w:p>
    <w:p>
      <w:pPr>
        <w:spacing w:after="120"/>
        <w:jc w:val="both"/>
      </w:pPr>
      <w:r>
        <w:rPr>
          <w:b/>
          <w:bCs/>
        </w:rPr>
        <w:t xml:space="preserve">56. 国家药品监督管理局药品审评中心于7月8日将细胞与基因治疗产品审评时限缩短至30个工作日</w:t>
      </w:r>
    </w:p>
    <w:p>
      <w:pPr>
        <w:spacing w:after="120"/>
        <w:jc w:val="both"/>
      </w:pPr>
      <w:r>
        <w:t xml:space="preserve">国家药品监督管理局药品审评中心自7月8日起将细胞与基因治疗（CGT）产品技术审评时限缩短至30个工作日，标志着该类产品审评迈入高效时代。监管效率的提升将直接加速CGT产品上市进程，改变市场竞争格局，促使企业加快研发步伐并优化注册申报策略，推动行业资源向具备技术优势的企业集中，对创新疗法的可及性和商业化节奏产生重大影响。</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cs="DengXian" w:eastAsia="DengXian" w:hAnsi="DengXi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2026-08-03T09:36:58.020Z</dcterms:created>
  <dcterms:modified xsi:type="dcterms:W3CDTF">2026-08-03T09:36:58.020Z</dcterms:modified>
</cp:coreProperties>
</file>

<file path=docProps/custom.xml><?xml version="1.0" encoding="utf-8"?>
<Properties xmlns="http://schemas.openxmlformats.org/officeDocument/2006/custom-properties" xmlns:vt="http://schemas.openxmlformats.org/officeDocument/2006/docPropsVTypes"/>
</file>